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работы: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Изучить возможности средства Обозреватель серверов (Server Explorer).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фрагмент базы данных, содержащий основные идентифицирующие сведения юридического лица и сведения о лицензиях.</w:t>
      </w:r>
    </w:p>
    <w:p>
      <w:pPr>
        <w:keepNext w:val="true"/>
        <w:keepLine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выполнения работы:</w:t>
      </w:r>
    </w:p>
    <w:p>
      <w:pPr>
        <w:numPr>
          <w:ilvl w:val="0"/>
          <w:numId w:val="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Рассмотреть описание базы данных ЕГРЮЛ, разработанное лицами, не являющимися специалистами в области информационных технологий (файл "Структура и форматы ЕГРЮЛ.doc")</w:t>
      </w:r>
    </w:p>
    <w:p>
      <w:pPr>
        <w:numPr>
          <w:ilvl w:val="0"/>
          <w:numId w:val="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Разработать структуру фрагмента базы данных ЕГРЮЛ, содержащую идентифицирующие сведения (название таблицы в постановке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UL)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сведения о лицензиях (название таблицы в постановке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LICENZ).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основной таблицы  (LICENZ) в базу данных должны быть включены таблицы-справочники, содержащие сведения о показателях, связанных с этой таблицей.</w:t>
      </w:r>
    </w:p>
    <w:p>
      <w:pPr>
        <w:numPr>
          <w:ilvl w:val="0"/>
          <w:numId w:val="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базу данных. Имя создаваемой базы данных должно содержать фамилию студента</w:t>
      </w:r>
    </w:p>
    <w:p>
      <w:pPr>
        <w:numPr>
          <w:ilvl w:val="0"/>
          <w:numId w:val="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описание таблиц ЕГРЮЛ в части касающейся основных (идентифицирующих) показателей и лицензий (в том числе определить идентификатор записи (свойство Identity) и первичные ключи). </w:t>
      </w:r>
    </w:p>
    <w:p>
      <w:pPr>
        <w:numPr>
          <w:ilvl w:val="0"/>
          <w:numId w:val="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Ввести сведения в таблицы базы данных</w:t>
      </w:r>
    </w:p>
    <w:p>
      <w:pPr>
        <w:numPr>
          <w:ilvl w:val="0"/>
          <w:numId w:val="4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Подготовить отчет, в котором описать порядок выполнения работы и представить полученные результаты</w:t>
      </w:r>
    </w:p>
    <w:p>
      <w:pPr>
        <w:keepNext w:val="true"/>
        <w:keepLine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работы: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Создадим таблицы БД и создадим между ними связи.</w:t>
      </w: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225" w:dyaOrig="6339">
          <v:rect xmlns:o="urn:schemas-microsoft-com:office:office" xmlns:v="urn:schemas-microsoft-com:vml" id="rectole0000000000" style="width:561.250000pt;height:31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Ul.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225" w:dyaOrig="6132">
          <v:rect xmlns:o="urn:schemas-microsoft-com:office:office" xmlns:v="urn:schemas-microsoft-com:vml" id="rectole0000000001" style="width:561.250000pt;height:306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LicOrg.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225" w:dyaOrig="6164">
          <v:rect xmlns:o="urn:schemas-microsoft-com:office:office" xmlns:v="urn:schemas-microsoft-com:vml" id="rectole0000000002" style="width:561.250000pt;height:308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SostLic.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225" w:dyaOrig="6156">
          <v:rect xmlns:o="urn:schemas-microsoft-com:office:office" xmlns:v="urn:schemas-microsoft-com:vml" id="rectole0000000003" style="width:561.250000pt;height:307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VidLic.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225" w:dyaOrig="6306">
          <v:rect xmlns:o="urn:schemas-microsoft-com:office:office" xmlns:v="urn:schemas-microsoft-com:vml" id="rectole0000000004" style="width:561.250000pt;height:315.3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Licenz.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таблице Licenz находится 4 внешних ключа.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того, как мы создали таблицы, мы их заполняем данными из документа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Коды для базы ЕГРЮЛ.doc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196" w:dyaOrig="2551">
          <v:rect xmlns:o="urn:schemas-microsoft-com:office:office" xmlns:v="urn:schemas-microsoft-com:vml" id="rectole0000000005" style="width:209.800000pt;height:127.5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LicOrg с заполненными данными.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496" w:dyaOrig="1872">
          <v:rect xmlns:o="urn:schemas-microsoft-com:office:office" xmlns:v="urn:schemas-microsoft-com:vml" id="rectole0000000006" style="width:174.800000pt;height:93.6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SostLic с заполненными данными</w:t>
      </w: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397" w:dyaOrig="3291">
          <v:rect xmlns:o="urn:schemas-microsoft-com:office:office" xmlns:v="urn:schemas-microsoft-com:vml" id="rectole0000000007" style="width:319.850000pt;height:164.5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Ul с заполненными данными</w:t>
      </w: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538" w:dyaOrig="2571">
          <v:rect xmlns:o="urn:schemas-microsoft-com:office:office" xmlns:v="urn:schemas-microsoft-com:vml" id="rectole0000000008" style="width:176.900000pt;height:128.5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VidLic с заполненными данными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36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225" w:dyaOrig="1989">
          <v:rect xmlns:o="urn:schemas-microsoft-com:office:office" xmlns:v="urn:schemas-microsoft-com:vml" id="rectole0000000009" style="width:561.250000pt;height:99.4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Рис.10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Licenz с заполненными данными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9.wmf" Id="docRId19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styles.xml" Id="docRId21" Type="http://schemas.openxmlformats.org/officeDocument/2006/relationships/styles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numbering.xml" Id="docRId20" Type="http://schemas.openxmlformats.org/officeDocument/2006/relationships/numbering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/Relationships>
</file>